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798" w:rsidRPr="006805B9" w:rsidRDefault="00C61798" w:rsidP="00C61798">
      <w:pPr>
        <w:autoSpaceDE w:val="0"/>
        <w:autoSpaceDN w:val="0"/>
        <w:jc w:val="center"/>
        <w:rPr>
          <w:b/>
          <w:color w:val="000000"/>
          <w:sz w:val="28"/>
          <w:szCs w:val="28"/>
          <w:lang w:val="vi-VN"/>
        </w:rPr>
      </w:pPr>
      <w:bookmarkStart w:id="0" w:name="loai_2"/>
      <w:r w:rsidRPr="006805B9">
        <w:rPr>
          <w:b/>
          <w:color w:val="000000"/>
          <w:sz w:val="28"/>
          <w:szCs w:val="28"/>
          <w:lang w:val="vi-VN"/>
        </w:rPr>
        <w:t>KHUNG NĂNG LỰC NGOẠI NGỮ 6 BẬC DÙNG CHO VIỆT NAM</w:t>
      </w:r>
      <w:bookmarkEnd w:id="0"/>
    </w:p>
    <w:p w:rsidR="00C61798" w:rsidRDefault="00C61798" w:rsidP="00C61798">
      <w:pPr>
        <w:autoSpaceDE w:val="0"/>
        <w:autoSpaceDN w:val="0"/>
        <w:jc w:val="center"/>
        <w:rPr>
          <w:i/>
          <w:color w:val="000000"/>
          <w:sz w:val="28"/>
          <w:szCs w:val="28"/>
          <w:lang w:val="vi-VN"/>
        </w:rPr>
      </w:pPr>
      <w:r w:rsidRPr="006805B9">
        <w:rPr>
          <w:i/>
          <w:color w:val="000000"/>
          <w:sz w:val="28"/>
          <w:szCs w:val="28"/>
          <w:lang w:val="vi-VN"/>
        </w:rPr>
        <w:t>(Ban hành kèm theo Thông tư số 01/2014/TT-BGDĐT</w:t>
      </w:r>
    </w:p>
    <w:p w:rsidR="00C61798" w:rsidRDefault="00C61798" w:rsidP="00C61798">
      <w:pPr>
        <w:autoSpaceDE w:val="0"/>
        <w:autoSpaceDN w:val="0"/>
        <w:jc w:val="center"/>
        <w:rPr>
          <w:i/>
          <w:color w:val="000000"/>
          <w:sz w:val="28"/>
          <w:szCs w:val="28"/>
          <w:lang w:val="vi-VN"/>
        </w:rPr>
      </w:pPr>
      <w:r w:rsidRPr="006805B9">
        <w:rPr>
          <w:i/>
          <w:color w:val="000000"/>
          <w:sz w:val="28"/>
          <w:szCs w:val="28"/>
          <w:lang w:val="vi-VN"/>
        </w:rPr>
        <w:t>ngày 24 tháng 01 năm 2014 của Bộ trưởng Bộ Giáo dục và Đào tạo)</w:t>
      </w:r>
    </w:p>
    <w:p w:rsidR="00C61798" w:rsidRPr="006805B9" w:rsidRDefault="00C61798" w:rsidP="00C61798">
      <w:pPr>
        <w:autoSpaceDE w:val="0"/>
        <w:autoSpaceDN w:val="0"/>
        <w:jc w:val="center"/>
        <w:rPr>
          <w:i/>
          <w:color w:val="000000"/>
          <w:sz w:val="28"/>
          <w:szCs w:val="28"/>
          <w:lang w:val="vi-VN"/>
        </w:rPr>
      </w:pPr>
      <w:bookmarkStart w:id="1" w:name="_GoBack"/>
      <w:bookmarkEnd w:id="1"/>
    </w:p>
    <w:p w:rsidR="00C61798" w:rsidRPr="006805B9" w:rsidRDefault="00C61798" w:rsidP="00C61798">
      <w:pPr>
        <w:autoSpaceDE w:val="0"/>
        <w:autoSpaceDN w:val="0"/>
        <w:spacing w:before="120" w:after="120"/>
        <w:ind w:firstLine="720"/>
        <w:jc w:val="both"/>
        <w:rPr>
          <w:b/>
          <w:color w:val="000000"/>
          <w:sz w:val="28"/>
          <w:szCs w:val="28"/>
          <w:lang w:val="vi-VN"/>
        </w:rPr>
      </w:pPr>
      <w:bookmarkStart w:id="2" w:name="muc_1"/>
      <w:r w:rsidRPr="007C5C48">
        <w:rPr>
          <w:b/>
          <w:color w:val="000000"/>
          <w:sz w:val="28"/>
          <w:szCs w:val="28"/>
          <w:lang w:val="vi-VN"/>
        </w:rPr>
        <w:t>I. MỤC ĐÍCH</w:t>
      </w:r>
      <w:bookmarkEnd w:id="2"/>
    </w:p>
    <w:p w:rsidR="00C61798" w:rsidRPr="006805B9" w:rsidRDefault="00C61798" w:rsidP="00C61798">
      <w:pPr>
        <w:autoSpaceDE w:val="0"/>
        <w:autoSpaceDN w:val="0"/>
        <w:spacing w:before="120" w:after="120"/>
        <w:ind w:firstLine="720"/>
        <w:jc w:val="both"/>
        <w:rPr>
          <w:color w:val="000000"/>
          <w:sz w:val="28"/>
          <w:szCs w:val="28"/>
          <w:lang w:val="vi-VN"/>
        </w:rPr>
      </w:pPr>
      <w:r w:rsidRPr="006805B9">
        <w:rPr>
          <w:b/>
          <w:color w:val="000000"/>
          <w:sz w:val="28"/>
          <w:szCs w:val="28"/>
          <w:lang w:val="vi-VN"/>
        </w:rPr>
        <w:t>1.</w:t>
      </w:r>
      <w:r w:rsidRPr="006805B9">
        <w:rPr>
          <w:color w:val="000000"/>
          <w:sz w:val="28"/>
          <w:szCs w:val="28"/>
          <w:lang w:val="vi-VN"/>
        </w:rPr>
        <w:t xml:space="preserve"> Làm căn cứ thống nhất về yêu cầu năng lực cho tất cả ngoại ngữ được giảng dạy trong hệ thống giáo dục quốc dân.</w:t>
      </w:r>
    </w:p>
    <w:p w:rsidR="00C61798" w:rsidRPr="00A7134E" w:rsidRDefault="00C61798" w:rsidP="00C61798">
      <w:pPr>
        <w:autoSpaceDE w:val="0"/>
        <w:autoSpaceDN w:val="0"/>
        <w:spacing w:before="120" w:after="120"/>
        <w:ind w:firstLine="720"/>
        <w:jc w:val="both"/>
        <w:rPr>
          <w:color w:val="000000"/>
          <w:spacing w:val="-4"/>
          <w:sz w:val="28"/>
          <w:szCs w:val="28"/>
          <w:lang w:val="vi-VN"/>
        </w:rPr>
      </w:pPr>
      <w:r w:rsidRPr="00A7134E">
        <w:rPr>
          <w:b/>
          <w:color w:val="000000"/>
          <w:spacing w:val="-4"/>
          <w:sz w:val="28"/>
          <w:szCs w:val="28"/>
          <w:lang w:val="vi-VN"/>
        </w:rPr>
        <w:t>2.</w:t>
      </w:r>
      <w:r w:rsidRPr="00A7134E">
        <w:rPr>
          <w:color w:val="000000"/>
          <w:spacing w:val="-4"/>
          <w:sz w:val="28"/>
          <w:szCs w:val="28"/>
          <w:lang w:val="vi-VN"/>
        </w:rPr>
        <w:t xml:space="preserve"> Làm căn cứ xây dựng chương trình, biên soạn hoặc lựa chọn giáo trình, sách giáo khoa, kế hoạch giảng dạy, các tài liệu dạy học ngoại ngữ khác và xây dựng tiêu chí trong kiểm tra, thi và đánh giá ở từng cấp học, trình độ đào tạo, bảo đảm sự liên thông trong đào tạo ngoại ngữ giữa các cấp học và trình độ đào tạo.</w:t>
      </w:r>
    </w:p>
    <w:p w:rsidR="00C61798" w:rsidRPr="006805B9" w:rsidRDefault="00C61798" w:rsidP="00C61798">
      <w:pPr>
        <w:autoSpaceDE w:val="0"/>
        <w:autoSpaceDN w:val="0"/>
        <w:spacing w:before="120" w:after="120"/>
        <w:ind w:firstLine="720"/>
        <w:jc w:val="both"/>
        <w:rPr>
          <w:color w:val="000000"/>
          <w:sz w:val="28"/>
          <w:szCs w:val="28"/>
          <w:lang w:val="vi-VN"/>
        </w:rPr>
      </w:pPr>
      <w:r w:rsidRPr="006805B9">
        <w:rPr>
          <w:b/>
          <w:color w:val="000000"/>
          <w:sz w:val="28"/>
          <w:szCs w:val="28"/>
          <w:lang w:val="vi-VN"/>
        </w:rPr>
        <w:t xml:space="preserve">3. </w:t>
      </w:r>
      <w:r w:rsidRPr="006805B9">
        <w:rPr>
          <w:color w:val="000000"/>
          <w:sz w:val="28"/>
          <w:szCs w:val="28"/>
          <w:lang w:val="vi-VN"/>
        </w:rPr>
        <w:t>Làm căn cứ cho giáo viên, giảng viên lựa chọn và triển khai nội dung, cách thức giảng dạy, kiểm tra, đánh giá để người học đạt được yêu cầu của chương trình đào tạo.</w:t>
      </w:r>
    </w:p>
    <w:p w:rsidR="00C61798" w:rsidRPr="006805B9" w:rsidRDefault="00C61798" w:rsidP="00C61798">
      <w:pPr>
        <w:autoSpaceDE w:val="0"/>
        <w:autoSpaceDN w:val="0"/>
        <w:spacing w:before="120" w:after="120"/>
        <w:ind w:firstLine="720"/>
        <w:jc w:val="both"/>
        <w:rPr>
          <w:color w:val="000000"/>
          <w:sz w:val="28"/>
          <w:szCs w:val="28"/>
          <w:lang w:val="vi-VN"/>
        </w:rPr>
      </w:pPr>
      <w:r w:rsidRPr="006805B9">
        <w:rPr>
          <w:b/>
          <w:color w:val="000000"/>
          <w:sz w:val="28"/>
          <w:szCs w:val="28"/>
          <w:lang w:val="vi-VN"/>
        </w:rPr>
        <w:t>4.</w:t>
      </w:r>
      <w:r w:rsidRPr="006805B9">
        <w:rPr>
          <w:color w:val="000000"/>
          <w:sz w:val="28"/>
          <w:szCs w:val="28"/>
          <w:lang w:val="vi-VN"/>
        </w:rPr>
        <w:t xml:space="preserve"> Giúp người học hiểu được nội dung, yêu cầu đối với từng trình độ năng lực ngoại ngữ và tự đánh giá năng lực của mình.</w:t>
      </w:r>
    </w:p>
    <w:p w:rsidR="00C61798" w:rsidRPr="006805B9" w:rsidRDefault="00C61798" w:rsidP="00C61798">
      <w:pPr>
        <w:autoSpaceDE w:val="0"/>
        <w:autoSpaceDN w:val="0"/>
        <w:spacing w:before="120" w:after="120"/>
        <w:ind w:firstLine="720"/>
        <w:jc w:val="both"/>
        <w:rPr>
          <w:color w:val="000000"/>
          <w:sz w:val="28"/>
          <w:szCs w:val="28"/>
          <w:lang w:val="vi-VN"/>
        </w:rPr>
      </w:pPr>
      <w:r w:rsidRPr="006805B9">
        <w:rPr>
          <w:b/>
          <w:color w:val="000000"/>
          <w:sz w:val="28"/>
          <w:szCs w:val="28"/>
          <w:lang w:val="vi-VN"/>
        </w:rPr>
        <w:t>5.</w:t>
      </w:r>
      <w:r w:rsidRPr="006805B9">
        <w:rPr>
          <w:color w:val="000000"/>
          <w:sz w:val="28"/>
          <w:szCs w:val="28"/>
          <w:lang w:val="vi-VN"/>
        </w:rPr>
        <w:t xml:space="preserve"> Tạo điều kiện thuận lợi cho việc hợp tác, trao đổi giáo dục, công nhận văn bằng, chứng chỉ với các quốc gia ứng dụng Khung tham chiếu chung Châu Âu (CEFR).</w:t>
      </w:r>
    </w:p>
    <w:p w:rsidR="00C61798" w:rsidRPr="006805B9" w:rsidRDefault="00C61798" w:rsidP="00C61798">
      <w:pPr>
        <w:autoSpaceDE w:val="0"/>
        <w:autoSpaceDN w:val="0"/>
        <w:spacing w:before="120" w:after="120"/>
        <w:ind w:firstLine="720"/>
        <w:jc w:val="both"/>
        <w:rPr>
          <w:b/>
          <w:color w:val="000000"/>
          <w:sz w:val="28"/>
          <w:szCs w:val="28"/>
          <w:lang w:val="vi-VN"/>
        </w:rPr>
      </w:pPr>
      <w:bookmarkStart w:id="3" w:name="muc_2"/>
      <w:r w:rsidRPr="007C5C48">
        <w:rPr>
          <w:b/>
          <w:color w:val="000000"/>
          <w:sz w:val="28"/>
          <w:szCs w:val="28"/>
          <w:lang w:val="vi-VN"/>
        </w:rPr>
        <w:t>II. ĐỐI TƯỢNG SỬ DỤNG</w:t>
      </w:r>
      <w:bookmarkEnd w:id="3"/>
      <w:r>
        <w:rPr>
          <w:b/>
          <w:color w:val="000000"/>
          <w:sz w:val="28"/>
          <w:szCs w:val="28"/>
          <w:lang w:val="vi-VN"/>
        </w:rPr>
        <w:t xml:space="preserve">: </w:t>
      </w:r>
      <w:r w:rsidRPr="006805B9">
        <w:rPr>
          <w:color w:val="000000"/>
          <w:sz w:val="28"/>
          <w:szCs w:val="28"/>
          <w:lang w:val="vi-VN"/>
        </w:rPr>
        <w:t>Khung năng lực ngoại ngữ 6 bậc dùng cho Việt Nam (sau đây gọi là Khung năng lực ngoại ngữ Việt Nam, viết tắt: KNLNNVN) áp dụng cho các chương trình đào tạo ngoại ngữ, các cơ sở đào tạo ngoại ngữ và người học ngoại ngữ trong hệ thống giáo dục quốc dân.</w:t>
      </w:r>
    </w:p>
    <w:p w:rsidR="00C61798" w:rsidRPr="006805B9" w:rsidRDefault="00C61798" w:rsidP="00C61798">
      <w:pPr>
        <w:autoSpaceDE w:val="0"/>
        <w:autoSpaceDN w:val="0"/>
        <w:spacing w:before="120" w:after="120"/>
        <w:ind w:firstLine="720"/>
        <w:jc w:val="both"/>
        <w:rPr>
          <w:b/>
          <w:color w:val="000000"/>
          <w:sz w:val="28"/>
          <w:szCs w:val="28"/>
          <w:lang w:val="vi-VN"/>
        </w:rPr>
      </w:pPr>
      <w:r w:rsidRPr="007C5C48">
        <w:rPr>
          <w:b/>
          <w:color w:val="000000"/>
          <w:sz w:val="28"/>
          <w:szCs w:val="28"/>
          <w:lang w:val="vi-VN"/>
        </w:rPr>
        <w:t>III. MỨC ĐỘ TƯƠNG THÍCH GIỮA KHUNG NĂNG LỰC NGOẠI NGỮ VIỆT NAM VÀ KHUNG THAM CHIẾU CHUNG CHÂU ÂU</w:t>
      </w:r>
    </w:p>
    <w:p w:rsidR="00C61798" w:rsidRDefault="00C61798" w:rsidP="00C61798">
      <w:pPr>
        <w:autoSpaceDE w:val="0"/>
        <w:autoSpaceDN w:val="0"/>
        <w:spacing w:before="120" w:after="120"/>
        <w:ind w:firstLine="720"/>
        <w:jc w:val="both"/>
        <w:rPr>
          <w:color w:val="000000"/>
          <w:kern w:val="2"/>
          <w:sz w:val="28"/>
          <w:szCs w:val="28"/>
          <w:lang w:val="vi-VN"/>
        </w:rPr>
      </w:pPr>
      <w:r w:rsidRPr="007C5C48">
        <w:rPr>
          <w:color w:val="000000"/>
          <w:sz w:val="28"/>
          <w:szCs w:val="28"/>
          <w:lang w:val="vi-VN"/>
        </w:rPr>
        <w:t xml:space="preserve">KNLNNVN được phát triển trên cơ sở tham chiếu, ứng dụng CEFR và một số khung trình độ tiếng Anh của các nước, kết hợp với tình hình và điều kiện thực tế dạy, học và sử dụng ngoại ngữ ở Việt Nam. KNLNNVN được chia làm 3 cấp (Sơ cấp, Trung cấp và Cao cấp) và 6 bậc (từ Bậc 1 đến Bậc 6 và tương thích với các bậc từ A1 đến C2 trong CEFR). </w:t>
      </w:r>
      <w:r w:rsidRPr="009F3B68">
        <w:rPr>
          <w:color w:val="000000"/>
          <w:kern w:val="2"/>
          <w:sz w:val="28"/>
          <w:szCs w:val="28"/>
          <w:lang w:val="vi-VN"/>
        </w:rPr>
        <w:t>Cụ thể như sau:</w:t>
      </w:r>
    </w:p>
    <w:tbl>
      <w:tblPr>
        <w:tblW w:w="9224" w:type="dxa"/>
        <w:tblCellSpacing w:w="0" w:type="dxa"/>
        <w:tblInd w:w="-14" w:type="dxa"/>
        <w:shd w:val="clear" w:color="auto" w:fill="FFFFFF"/>
        <w:tblCellMar>
          <w:left w:w="0" w:type="dxa"/>
          <w:right w:w="0" w:type="dxa"/>
        </w:tblCellMar>
        <w:tblLook w:val="04A0" w:firstRow="1" w:lastRow="0" w:firstColumn="1" w:lastColumn="0" w:noHBand="0" w:noVBand="1"/>
      </w:tblPr>
      <w:tblGrid>
        <w:gridCol w:w="2191"/>
        <w:gridCol w:w="2487"/>
        <w:gridCol w:w="4546"/>
      </w:tblGrid>
      <w:tr w:rsidR="00C61798" w:rsidRPr="009F3B68" w:rsidTr="00C713EB">
        <w:trPr>
          <w:trHeight w:val="397"/>
          <w:tblCellSpacing w:w="0" w:type="dxa"/>
        </w:trPr>
        <w:tc>
          <w:tcPr>
            <w:tcW w:w="4678"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61798" w:rsidRPr="007C5C48" w:rsidRDefault="00C61798" w:rsidP="00C713EB">
            <w:pPr>
              <w:autoSpaceDE w:val="0"/>
              <w:autoSpaceDN w:val="0"/>
              <w:jc w:val="center"/>
              <w:rPr>
                <w:b/>
                <w:color w:val="000000"/>
                <w:kern w:val="2"/>
                <w:sz w:val="28"/>
                <w:szCs w:val="28"/>
                <w:lang w:val="vi-VN"/>
              </w:rPr>
            </w:pPr>
            <w:r w:rsidRPr="006805B9">
              <w:rPr>
                <w:b/>
                <w:color w:val="000000"/>
                <w:sz w:val="28"/>
                <w:szCs w:val="28"/>
                <w:lang w:val="vi-VN"/>
              </w:rPr>
              <w:t>Khung năng lực ngoại ngữ Việt Nam</w:t>
            </w:r>
          </w:p>
        </w:tc>
        <w:tc>
          <w:tcPr>
            <w:tcW w:w="45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1798" w:rsidRPr="007C5C48" w:rsidRDefault="00C61798" w:rsidP="00C713EB">
            <w:pPr>
              <w:autoSpaceDE w:val="0"/>
              <w:autoSpaceDN w:val="0"/>
              <w:jc w:val="center"/>
              <w:rPr>
                <w:b/>
                <w:color w:val="000000"/>
                <w:kern w:val="2"/>
                <w:sz w:val="28"/>
                <w:szCs w:val="28"/>
                <w:lang w:val="vi-VN"/>
              </w:rPr>
            </w:pPr>
            <w:r w:rsidRPr="006805B9">
              <w:rPr>
                <w:b/>
                <w:color w:val="000000"/>
                <w:sz w:val="28"/>
                <w:szCs w:val="28"/>
                <w:lang w:val="vi-VN"/>
              </w:rPr>
              <w:t>Khung tham chiếu chung Châu Âu</w:t>
            </w:r>
          </w:p>
        </w:tc>
      </w:tr>
      <w:tr w:rsidR="00C61798" w:rsidRPr="009F3B68" w:rsidTr="00C713EB">
        <w:trPr>
          <w:trHeight w:val="397"/>
          <w:tblCellSpacing w:w="0" w:type="dxa"/>
        </w:trPr>
        <w:tc>
          <w:tcPr>
            <w:tcW w:w="219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61798" w:rsidRPr="007C5C48" w:rsidRDefault="00C61798" w:rsidP="00C713EB">
            <w:pPr>
              <w:autoSpaceDE w:val="0"/>
              <w:autoSpaceDN w:val="0"/>
              <w:jc w:val="center"/>
              <w:rPr>
                <w:b/>
                <w:color w:val="000000"/>
                <w:kern w:val="2"/>
                <w:sz w:val="28"/>
                <w:szCs w:val="28"/>
                <w:lang w:val="vi-VN"/>
              </w:rPr>
            </w:pPr>
            <w:r w:rsidRPr="007C5C48">
              <w:rPr>
                <w:b/>
                <w:color w:val="000000"/>
                <w:kern w:val="2"/>
                <w:sz w:val="28"/>
                <w:szCs w:val="28"/>
                <w:lang w:val="vi-VN"/>
              </w:rPr>
              <w:t>Sơ cấp</w:t>
            </w:r>
          </w:p>
        </w:tc>
        <w:tc>
          <w:tcPr>
            <w:tcW w:w="2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1798" w:rsidRPr="009F3B68" w:rsidRDefault="00C61798" w:rsidP="00C713EB">
            <w:pPr>
              <w:autoSpaceDE w:val="0"/>
              <w:autoSpaceDN w:val="0"/>
              <w:jc w:val="center"/>
              <w:rPr>
                <w:color w:val="000000"/>
                <w:kern w:val="2"/>
                <w:sz w:val="28"/>
                <w:szCs w:val="28"/>
                <w:lang w:val="vi-VN"/>
              </w:rPr>
            </w:pPr>
            <w:r w:rsidRPr="009F3B68">
              <w:rPr>
                <w:color w:val="000000"/>
                <w:kern w:val="2"/>
                <w:sz w:val="28"/>
                <w:szCs w:val="28"/>
                <w:lang w:val="vi-VN"/>
              </w:rPr>
              <w:t>Bậc 1</w:t>
            </w:r>
          </w:p>
        </w:tc>
        <w:tc>
          <w:tcPr>
            <w:tcW w:w="45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1798" w:rsidRPr="009F3B68" w:rsidRDefault="00C61798" w:rsidP="00C713EB">
            <w:pPr>
              <w:autoSpaceDE w:val="0"/>
              <w:autoSpaceDN w:val="0"/>
              <w:jc w:val="center"/>
              <w:rPr>
                <w:color w:val="000000"/>
                <w:kern w:val="2"/>
                <w:sz w:val="28"/>
                <w:szCs w:val="28"/>
                <w:lang w:val="vi-VN"/>
              </w:rPr>
            </w:pPr>
            <w:r w:rsidRPr="009F3B68">
              <w:rPr>
                <w:color w:val="000000"/>
                <w:kern w:val="2"/>
                <w:sz w:val="28"/>
                <w:szCs w:val="28"/>
                <w:lang w:val="vi-VN"/>
              </w:rPr>
              <w:t>A1</w:t>
            </w:r>
          </w:p>
        </w:tc>
      </w:tr>
      <w:tr w:rsidR="00C61798" w:rsidRPr="009F3B68" w:rsidTr="00C713EB">
        <w:trPr>
          <w:trHeight w:val="397"/>
          <w:tblCellSpacing w:w="0" w:type="dxa"/>
        </w:trPr>
        <w:tc>
          <w:tcPr>
            <w:tcW w:w="2191" w:type="dxa"/>
            <w:vMerge/>
            <w:tcBorders>
              <w:top w:val="nil"/>
              <w:left w:val="single" w:sz="8" w:space="0" w:color="auto"/>
              <w:bottom w:val="single" w:sz="8" w:space="0" w:color="auto"/>
              <w:right w:val="single" w:sz="8" w:space="0" w:color="auto"/>
            </w:tcBorders>
            <w:shd w:val="clear" w:color="auto" w:fill="FFFFFF"/>
            <w:vAlign w:val="center"/>
            <w:hideMark/>
          </w:tcPr>
          <w:p w:rsidR="00C61798" w:rsidRPr="007C5C48" w:rsidRDefault="00C61798" w:rsidP="00C713EB">
            <w:pPr>
              <w:autoSpaceDE w:val="0"/>
              <w:autoSpaceDN w:val="0"/>
              <w:jc w:val="center"/>
              <w:rPr>
                <w:b/>
                <w:color w:val="000000"/>
                <w:kern w:val="2"/>
                <w:sz w:val="28"/>
                <w:szCs w:val="28"/>
                <w:lang w:val="vi-VN"/>
              </w:rPr>
            </w:pPr>
          </w:p>
        </w:tc>
        <w:tc>
          <w:tcPr>
            <w:tcW w:w="2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1798" w:rsidRPr="009F3B68" w:rsidRDefault="00C61798" w:rsidP="00C713EB">
            <w:pPr>
              <w:autoSpaceDE w:val="0"/>
              <w:autoSpaceDN w:val="0"/>
              <w:jc w:val="center"/>
              <w:rPr>
                <w:color w:val="000000"/>
                <w:kern w:val="2"/>
                <w:sz w:val="28"/>
                <w:szCs w:val="28"/>
                <w:lang w:val="vi-VN"/>
              </w:rPr>
            </w:pPr>
            <w:r w:rsidRPr="009F3B68">
              <w:rPr>
                <w:color w:val="000000"/>
                <w:kern w:val="2"/>
                <w:sz w:val="28"/>
                <w:szCs w:val="28"/>
                <w:lang w:val="vi-VN"/>
              </w:rPr>
              <w:t>Bậc 2</w:t>
            </w:r>
          </w:p>
        </w:tc>
        <w:tc>
          <w:tcPr>
            <w:tcW w:w="45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1798" w:rsidRPr="009F3B68" w:rsidRDefault="00C61798" w:rsidP="00C713EB">
            <w:pPr>
              <w:autoSpaceDE w:val="0"/>
              <w:autoSpaceDN w:val="0"/>
              <w:jc w:val="center"/>
              <w:rPr>
                <w:color w:val="000000"/>
                <w:kern w:val="2"/>
                <w:sz w:val="28"/>
                <w:szCs w:val="28"/>
                <w:lang w:val="vi-VN"/>
              </w:rPr>
            </w:pPr>
            <w:r w:rsidRPr="009F3B68">
              <w:rPr>
                <w:color w:val="000000"/>
                <w:kern w:val="2"/>
                <w:sz w:val="28"/>
                <w:szCs w:val="28"/>
                <w:lang w:val="vi-VN"/>
              </w:rPr>
              <w:t>A2</w:t>
            </w:r>
          </w:p>
        </w:tc>
      </w:tr>
      <w:tr w:rsidR="00C61798" w:rsidRPr="009F3B68" w:rsidTr="00C713EB">
        <w:trPr>
          <w:trHeight w:val="397"/>
          <w:tblCellSpacing w:w="0" w:type="dxa"/>
        </w:trPr>
        <w:tc>
          <w:tcPr>
            <w:tcW w:w="219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61798" w:rsidRPr="007C5C48" w:rsidRDefault="00C61798" w:rsidP="00C713EB">
            <w:pPr>
              <w:autoSpaceDE w:val="0"/>
              <w:autoSpaceDN w:val="0"/>
              <w:jc w:val="center"/>
              <w:rPr>
                <w:b/>
                <w:color w:val="000000"/>
                <w:kern w:val="2"/>
                <w:sz w:val="28"/>
                <w:szCs w:val="28"/>
                <w:lang w:val="vi-VN"/>
              </w:rPr>
            </w:pPr>
            <w:r w:rsidRPr="007C5C48">
              <w:rPr>
                <w:b/>
                <w:color w:val="000000"/>
                <w:kern w:val="2"/>
                <w:sz w:val="28"/>
                <w:szCs w:val="28"/>
                <w:lang w:val="vi-VN"/>
              </w:rPr>
              <w:t>Trung cấp</w:t>
            </w:r>
          </w:p>
        </w:tc>
        <w:tc>
          <w:tcPr>
            <w:tcW w:w="2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1798" w:rsidRPr="009F3B68" w:rsidRDefault="00C61798" w:rsidP="00C713EB">
            <w:pPr>
              <w:autoSpaceDE w:val="0"/>
              <w:autoSpaceDN w:val="0"/>
              <w:jc w:val="center"/>
              <w:rPr>
                <w:color w:val="000000"/>
                <w:kern w:val="2"/>
                <w:sz w:val="28"/>
                <w:szCs w:val="28"/>
                <w:lang w:val="vi-VN"/>
              </w:rPr>
            </w:pPr>
            <w:r w:rsidRPr="009F3B68">
              <w:rPr>
                <w:color w:val="000000"/>
                <w:kern w:val="2"/>
                <w:sz w:val="28"/>
                <w:szCs w:val="28"/>
                <w:lang w:val="vi-VN"/>
              </w:rPr>
              <w:t>Bậc 3</w:t>
            </w:r>
          </w:p>
        </w:tc>
        <w:tc>
          <w:tcPr>
            <w:tcW w:w="45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1798" w:rsidRPr="009F3B68" w:rsidRDefault="00C61798" w:rsidP="00C713EB">
            <w:pPr>
              <w:autoSpaceDE w:val="0"/>
              <w:autoSpaceDN w:val="0"/>
              <w:jc w:val="center"/>
              <w:rPr>
                <w:color w:val="000000"/>
                <w:kern w:val="2"/>
                <w:sz w:val="28"/>
                <w:szCs w:val="28"/>
                <w:lang w:val="vi-VN"/>
              </w:rPr>
            </w:pPr>
            <w:r w:rsidRPr="009F3B68">
              <w:rPr>
                <w:color w:val="000000"/>
                <w:kern w:val="2"/>
                <w:sz w:val="28"/>
                <w:szCs w:val="28"/>
                <w:lang w:val="vi-VN"/>
              </w:rPr>
              <w:t>B1</w:t>
            </w:r>
          </w:p>
        </w:tc>
      </w:tr>
      <w:tr w:rsidR="00C61798" w:rsidRPr="009F3B68" w:rsidTr="00C713EB">
        <w:trPr>
          <w:trHeight w:val="397"/>
          <w:tblCellSpacing w:w="0" w:type="dxa"/>
        </w:trPr>
        <w:tc>
          <w:tcPr>
            <w:tcW w:w="2191" w:type="dxa"/>
            <w:vMerge/>
            <w:tcBorders>
              <w:top w:val="nil"/>
              <w:left w:val="single" w:sz="8" w:space="0" w:color="auto"/>
              <w:bottom w:val="single" w:sz="8" w:space="0" w:color="auto"/>
              <w:right w:val="single" w:sz="8" w:space="0" w:color="auto"/>
            </w:tcBorders>
            <w:shd w:val="clear" w:color="auto" w:fill="FFFFFF"/>
            <w:vAlign w:val="center"/>
            <w:hideMark/>
          </w:tcPr>
          <w:p w:rsidR="00C61798" w:rsidRPr="007C5C48" w:rsidRDefault="00C61798" w:rsidP="00C713EB">
            <w:pPr>
              <w:autoSpaceDE w:val="0"/>
              <w:autoSpaceDN w:val="0"/>
              <w:jc w:val="center"/>
              <w:rPr>
                <w:b/>
                <w:color w:val="000000"/>
                <w:kern w:val="2"/>
                <w:sz w:val="28"/>
                <w:szCs w:val="28"/>
                <w:lang w:val="vi-VN"/>
              </w:rPr>
            </w:pPr>
          </w:p>
        </w:tc>
        <w:tc>
          <w:tcPr>
            <w:tcW w:w="2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1798" w:rsidRPr="009F3B68" w:rsidRDefault="00C61798" w:rsidP="00C713EB">
            <w:pPr>
              <w:autoSpaceDE w:val="0"/>
              <w:autoSpaceDN w:val="0"/>
              <w:jc w:val="center"/>
              <w:rPr>
                <w:color w:val="000000"/>
                <w:kern w:val="2"/>
                <w:sz w:val="28"/>
                <w:szCs w:val="28"/>
                <w:lang w:val="vi-VN"/>
              </w:rPr>
            </w:pPr>
            <w:r w:rsidRPr="009F3B68">
              <w:rPr>
                <w:color w:val="000000"/>
                <w:kern w:val="2"/>
                <w:sz w:val="28"/>
                <w:szCs w:val="28"/>
                <w:lang w:val="vi-VN"/>
              </w:rPr>
              <w:t>Bậc 4</w:t>
            </w:r>
          </w:p>
        </w:tc>
        <w:tc>
          <w:tcPr>
            <w:tcW w:w="45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1798" w:rsidRPr="009F3B68" w:rsidRDefault="00C61798" w:rsidP="00C713EB">
            <w:pPr>
              <w:autoSpaceDE w:val="0"/>
              <w:autoSpaceDN w:val="0"/>
              <w:jc w:val="center"/>
              <w:rPr>
                <w:color w:val="000000"/>
                <w:kern w:val="2"/>
                <w:sz w:val="28"/>
                <w:szCs w:val="28"/>
                <w:lang w:val="vi-VN"/>
              </w:rPr>
            </w:pPr>
            <w:r w:rsidRPr="009F3B68">
              <w:rPr>
                <w:color w:val="000000"/>
                <w:kern w:val="2"/>
                <w:sz w:val="28"/>
                <w:szCs w:val="28"/>
                <w:lang w:val="vi-VN"/>
              </w:rPr>
              <w:t>B2</w:t>
            </w:r>
          </w:p>
        </w:tc>
      </w:tr>
      <w:tr w:rsidR="00C61798" w:rsidRPr="009F3B68" w:rsidTr="00C713EB">
        <w:trPr>
          <w:trHeight w:val="397"/>
          <w:tblCellSpacing w:w="0" w:type="dxa"/>
        </w:trPr>
        <w:tc>
          <w:tcPr>
            <w:tcW w:w="219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61798" w:rsidRPr="007C5C48" w:rsidRDefault="00C61798" w:rsidP="00C713EB">
            <w:pPr>
              <w:autoSpaceDE w:val="0"/>
              <w:autoSpaceDN w:val="0"/>
              <w:jc w:val="center"/>
              <w:rPr>
                <w:b/>
                <w:color w:val="000000"/>
                <w:kern w:val="2"/>
                <w:sz w:val="28"/>
                <w:szCs w:val="28"/>
                <w:lang w:val="vi-VN"/>
              </w:rPr>
            </w:pPr>
            <w:r w:rsidRPr="007C5C48">
              <w:rPr>
                <w:b/>
                <w:color w:val="000000"/>
                <w:kern w:val="2"/>
                <w:sz w:val="28"/>
                <w:szCs w:val="28"/>
                <w:lang w:val="vi-VN"/>
              </w:rPr>
              <w:t>Cao cấp</w:t>
            </w:r>
          </w:p>
        </w:tc>
        <w:tc>
          <w:tcPr>
            <w:tcW w:w="2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1798" w:rsidRPr="009F3B68" w:rsidRDefault="00C61798" w:rsidP="00C713EB">
            <w:pPr>
              <w:autoSpaceDE w:val="0"/>
              <w:autoSpaceDN w:val="0"/>
              <w:jc w:val="center"/>
              <w:rPr>
                <w:color w:val="000000"/>
                <w:kern w:val="2"/>
                <w:sz w:val="28"/>
                <w:szCs w:val="28"/>
                <w:lang w:val="vi-VN"/>
              </w:rPr>
            </w:pPr>
            <w:r w:rsidRPr="009F3B68">
              <w:rPr>
                <w:color w:val="000000"/>
                <w:kern w:val="2"/>
                <w:sz w:val="28"/>
                <w:szCs w:val="28"/>
                <w:lang w:val="vi-VN"/>
              </w:rPr>
              <w:t>Bậc 5</w:t>
            </w:r>
          </w:p>
        </w:tc>
        <w:tc>
          <w:tcPr>
            <w:tcW w:w="45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1798" w:rsidRPr="009F3B68" w:rsidRDefault="00C61798" w:rsidP="00C713EB">
            <w:pPr>
              <w:autoSpaceDE w:val="0"/>
              <w:autoSpaceDN w:val="0"/>
              <w:jc w:val="center"/>
              <w:rPr>
                <w:color w:val="000000"/>
                <w:kern w:val="2"/>
                <w:sz w:val="28"/>
                <w:szCs w:val="28"/>
                <w:lang w:val="vi-VN"/>
              </w:rPr>
            </w:pPr>
            <w:r w:rsidRPr="009F3B68">
              <w:rPr>
                <w:color w:val="000000"/>
                <w:kern w:val="2"/>
                <w:sz w:val="28"/>
                <w:szCs w:val="28"/>
                <w:lang w:val="vi-VN"/>
              </w:rPr>
              <w:t>C1</w:t>
            </w:r>
          </w:p>
        </w:tc>
      </w:tr>
      <w:tr w:rsidR="00C61798" w:rsidRPr="009F3B68" w:rsidTr="00C713EB">
        <w:trPr>
          <w:trHeight w:val="397"/>
          <w:tblCellSpacing w:w="0" w:type="dxa"/>
        </w:trPr>
        <w:tc>
          <w:tcPr>
            <w:tcW w:w="2191" w:type="dxa"/>
            <w:vMerge/>
            <w:tcBorders>
              <w:top w:val="nil"/>
              <w:left w:val="single" w:sz="8" w:space="0" w:color="auto"/>
              <w:bottom w:val="single" w:sz="8" w:space="0" w:color="auto"/>
              <w:right w:val="single" w:sz="8" w:space="0" w:color="auto"/>
            </w:tcBorders>
            <w:shd w:val="clear" w:color="auto" w:fill="FFFFFF"/>
            <w:vAlign w:val="center"/>
            <w:hideMark/>
          </w:tcPr>
          <w:p w:rsidR="00C61798" w:rsidRPr="009F3B68" w:rsidRDefault="00C61798" w:rsidP="00C713EB">
            <w:pPr>
              <w:autoSpaceDE w:val="0"/>
              <w:autoSpaceDN w:val="0"/>
              <w:jc w:val="center"/>
              <w:rPr>
                <w:color w:val="000000"/>
                <w:kern w:val="2"/>
                <w:sz w:val="28"/>
                <w:szCs w:val="28"/>
                <w:lang w:val="vi-VN"/>
              </w:rPr>
            </w:pPr>
          </w:p>
        </w:tc>
        <w:tc>
          <w:tcPr>
            <w:tcW w:w="2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1798" w:rsidRPr="009F3B68" w:rsidRDefault="00C61798" w:rsidP="00C713EB">
            <w:pPr>
              <w:autoSpaceDE w:val="0"/>
              <w:autoSpaceDN w:val="0"/>
              <w:jc w:val="center"/>
              <w:rPr>
                <w:color w:val="000000"/>
                <w:kern w:val="2"/>
                <w:sz w:val="28"/>
                <w:szCs w:val="28"/>
                <w:lang w:val="vi-VN"/>
              </w:rPr>
            </w:pPr>
            <w:r w:rsidRPr="009F3B68">
              <w:rPr>
                <w:color w:val="000000"/>
                <w:kern w:val="2"/>
                <w:sz w:val="28"/>
                <w:szCs w:val="28"/>
                <w:lang w:val="vi-VN"/>
              </w:rPr>
              <w:t>Bậc 6</w:t>
            </w:r>
          </w:p>
        </w:tc>
        <w:tc>
          <w:tcPr>
            <w:tcW w:w="45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1798" w:rsidRPr="009F3B68" w:rsidRDefault="00C61798" w:rsidP="00C713EB">
            <w:pPr>
              <w:autoSpaceDE w:val="0"/>
              <w:autoSpaceDN w:val="0"/>
              <w:jc w:val="center"/>
              <w:rPr>
                <w:color w:val="000000"/>
                <w:kern w:val="2"/>
                <w:sz w:val="28"/>
                <w:szCs w:val="28"/>
                <w:lang w:val="vi-VN"/>
              </w:rPr>
            </w:pPr>
            <w:r w:rsidRPr="009F3B68">
              <w:rPr>
                <w:color w:val="000000"/>
                <w:kern w:val="2"/>
                <w:sz w:val="28"/>
                <w:szCs w:val="28"/>
                <w:lang w:val="vi-VN"/>
              </w:rPr>
              <w:t>C2</w:t>
            </w:r>
          </w:p>
        </w:tc>
      </w:tr>
    </w:tbl>
    <w:p w:rsidR="00C931AB" w:rsidRDefault="00C931AB"/>
    <w:sectPr w:rsidR="00C931AB" w:rsidSect="00AA3D2D">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798"/>
    <w:rsid w:val="00AA3D2D"/>
    <w:rsid w:val="00C61798"/>
    <w:rsid w:val="00C93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BBD14"/>
  <w15:chartTrackingRefBased/>
  <w15:docId w15:val="{41164E1D-3804-4C26-8872-0475C07F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798"/>
    <w:pPr>
      <w:spacing w:before="0" w:after="0"/>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Quận Đoàn Phú Nhuận Đoàn TNCS Hồ Chí Minh</dc:creator>
  <cp:keywords/>
  <dc:description/>
  <cp:lastModifiedBy>Quận Đoàn Phú Nhuận Đoàn TNCS Hồ Chí Minh</cp:lastModifiedBy>
  <cp:revision>1</cp:revision>
  <dcterms:created xsi:type="dcterms:W3CDTF">2020-10-06T04:31:00Z</dcterms:created>
  <dcterms:modified xsi:type="dcterms:W3CDTF">2020-10-06T04:32:00Z</dcterms:modified>
</cp:coreProperties>
</file>